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5860E1">
        <w:rPr>
          <w:rFonts w:ascii="Times New Roman" w:hAnsi="Times New Roman"/>
          <w:sz w:val="24"/>
        </w:rPr>
        <w:t>89</w:t>
      </w:r>
      <w:r w:rsidR="00C07C5C">
        <w:rPr>
          <w:rFonts w:ascii="Times New Roman" w:hAnsi="Times New Roman"/>
          <w:sz w:val="24"/>
        </w:rPr>
        <w:tab/>
        <w:t>R4-1815590</w:t>
      </w:r>
      <w:bookmarkStart w:id="0" w:name="_GoBack"/>
      <w:bookmarkEnd w:id="0"/>
    </w:p>
    <w:p w:rsidR="005813AA" w:rsidRPr="00552689" w:rsidRDefault="005860E1" w:rsidP="005813AA">
      <w:pPr>
        <w:pStyle w:val="Header"/>
        <w:rPr>
          <w:rFonts w:ascii="Times New Roman" w:hAnsi="Times New Roman"/>
          <w:sz w:val="24"/>
          <w:lang w:val="en-US"/>
        </w:rPr>
      </w:pPr>
      <w:r>
        <w:rPr>
          <w:rFonts w:ascii="Times New Roman" w:hAnsi="Times New Roman"/>
          <w:sz w:val="24"/>
          <w:lang w:val="en-US"/>
        </w:rPr>
        <w:t>Spokane</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12</w:t>
      </w:r>
      <w:r w:rsidR="002B1082">
        <w:rPr>
          <w:rFonts w:ascii="Times New Roman" w:hAnsi="Times New Roman"/>
          <w:sz w:val="24"/>
          <w:lang w:val="en-US"/>
        </w:rPr>
        <w:t>-1</w:t>
      </w:r>
      <w:r>
        <w:rPr>
          <w:rFonts w:ascii="Times New Roman" w:hAnsi="Times New Roman"/>
          <w:sz w:val="24"/>
          <w:lang w:val="en-US"/>
        </w:rPr>
        <w:t>6</w:t>
      </w:r>
      <w:r w:rsidR="002B1082">
        <w:rPr>
          <w:rFonts w:ascii="Times New Roman" w:hAnsi="Times New Roman"/>
          <w:sz w:val="24"/>
          <w:lang w:val="en-US"/>
        </w:rPr>
        <w:t xml:space="preserve"> </w:t>
      </w:r>
      <w:r>
        <w:rPr>
          <w:rFonts w:ascii="Times New Roman" w:hAnsi="Times New Roman"/>
          <w:sz w:val="24"/>
          <w:lang w:val="en-US"/>
        </w:rPr>
        <w:t>November</w:t>
      </w:r>
      <w:r w:rsidR="005813AA">
        <w:rPr>
          <w:rFonts w:ascii="Times New Roman" w:hAnsi="Times New Roman"/>
          <w:sz w:val="24"/>
          <w:lang w:val="en-US"/>
        </w:rPr>
        <w:t>, 2018</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D74E42">
        <w:rPr>
          <w:rFonts w:ascii="Arial" w:hAnsi="Arial" w:cs="Arial"/>
          <w:sz w:val="24"/>
          <w:lang w:val="en-US" w:eastAsia="zh-CN"/>
        </w:rPr>
        <w:t>Side condition for FR2 handover</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948FF">
        <w:rPr>
          <w:rFonts w:ascii="Arial" w:hAnsi="Arial" w:cs="Arial"/>
          <w:sz w:val="24"/>
          <w:lang w:val="en-US" w:eastAsia="zh-CN"/>
        </w:rPr>
        <w:t>7.11.5.2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2B1082" w:rsidRDefault="00D74E42" w:rsidP="002B1082">
      <w:r>
        <w:t>Requirem</w:t>
      </w:r>
      <w:r w:rsidR="006F3ADF">
        <w:t xml:space="preserve">ents were agreed in RAN4#88 for FR2 handover. An example is shown below. As we discussed in RAN4#88bis, Tsearch applies for all </w:t>
      </w:r>
      <w:r w:rsidR="006948FF">
        <w:t xml:space="preserve">FR2 </w:t>
      </w:r>
      <w:r w:rsidR="006F3ADF">
        <w:t>handovers, and there is no concept of a known cell, as there is for handover to FR1 target cells. One consequence is that there is a highlighted side condition that the “</w:t>
      </w:r>
      <w:r w:rsidR="006F3ADF" w:rsidRPr="006F3ADF">
        <w:t>signal quality is sufficient for successful cell</w:t>
      </w:r>
      <w:r w:rsidR="006F3ADF">
        <w:t xml:space="preserve"> detection on the first attempt” as highlighted. One concern is that the conditions for “detection on the first attempt” are not well defined, either in handover requirements, or implied by any other requirement in 38.133.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D74E42" w:rsidTr="00B76A7A">
        <w:tc>
          <w:tcPr>
            <w:tcW w:w="10763" w:type="dxa"/>
            <w:shd w:val="clear" w:color="auto" w:fill="auto"/>
          </w:tcPr>
          <w:p w:rsidR="00D74E42" w:rsidRPr="00B76A7A" w:rsidRDefault="00D74E42" w:rsidP="00D74E42">
            <w:pPr>
              <w:pStyle w:val="Heading4"/>
              <w:rPr>
                <w:rFonts w:eastAsia="SimSun"/>
                <w:lang w:val="en-US" w:eastAsia="zh-CN"/>
              </w:rPr>
            </w:pPr>
            <w:bookmarkStart w:id="2" w:name="_Toc526331616"/>
            <w:r w:rsidRPr="00B76A7A">
              <w:rPr>
                <w:rFonts w:eastAsia="SimSun"/>
                <w:lang w:val="en-US" w:eastAsia="zh-CN"/>
              </w:rPr>
              <w:lastRenderedPageBreak/>
              <w:t>6.1.1.4</w:t>
            </w:r>
            <w:r w:rsidRPr="00B76A7A">
              <w:rPr>
                <w:rFonts w:eastAsia="SimSun"/>
                <w:lang w:val="en-US" w:eastAsia="zh-CN"/>
              </w:rPr>
              <w:tab/>
              <w:t>NR FR2- NR FR2 Handover</w:t>
            </w:r>
            <w:bookmarkEnd w:id="2"/>
          </w:p>
          <w:p w:rsidR="00D74E42" w:rsidRPr="00B76A7A" w:rsidRDefault="00D74E42" w:rsidP="00D74E42">
            <w:pPr>
              <w:rPr>
                <w:rFonts w:eastAsia="SimSun"/>
              </w:rPr>
            </w:pPr>
            <w:r>
              <w:t>The requirements in this clause are applicable to both intra-frequency and inter-frequency handovers from NR FR2 cell to NR FR2 cell.</w:t>
            </w:r>
          </w:p>
          <w:p w:rsidR="00D74E42" w:rsidRPr="00B76A7A" w:rsidRDefault="00D74E42" w:rsidP="00B76A7A">
            <w:pPr>
              <w:pStyle w:val="Heading5"/>
              <w:numPr>
                <w:ilvl w:val="0"/>
                <w:numId w:val="0"/>
              </w:numPr>
              <w:ind w:left="1152" w:hanging="1152"/>
              <w:rPr>
                <w:rFonts w:eastAsia="SimSun"/>
              </w:rPr>
            </w:pPr>
            <w:bookmarkStart w:id="3" w:name="_Toc526331617"/>
            <w:r w:rsidRPr="00B76A7A">
              <w:rPr>
                <w:rFonts w:eastAsia="SimSun"/>
              </w:rPr>
              <w:t>6.1.1.4.1</w:t>
            </w:r>
            <w:r w:rsidRPr="00B76A7A">
              <w:rPr>
                <w:rFonts w:eastAsia="SimSun"/>
              </w:rPr>
              <w:tab/>
              <w:t>Handover delay</w:t>
            </w:r>
            <w:bookmarkEnd w:id="3"/>
          </w:p>
          <w:p w:rsidR="00D74E42" w:rsidRPr="00B76A7A" w:rsidRDefault="00D74E42" w:rsidP="00D74E42">
            <w:pPr>
              <w:rPr>
                <w:rFonts w:eastAsia="SimSun" w:cs="v4.2.0"/>
              </w:rPr>
            </w:pPr>
            <w:r w:rsidRPr="00B76A7A">
              <w:rPr>
                <w:rFonts w:cs="v4.2.0"/>
              </w:rPr>
              <w:t xml:space="preserve">Procedure delays for all procedures that can command a handover are specified in </w:t>
            </w:r>
            <w:r>
              <w:t>TS 38.331 [2]</w:t>
            </w:r>
            <w:r w:rsidRPr="00B76A7A">
              <w:rPr>
                <w:rFonts w:cs="v4.2.0"/>
              </w:rPr>
              <w:t>.</w:t>
            </w:r>
          </w:p>
          <w:p w:rsidR="00D74E42" w:rsidRPr="00B76A7A" w:rsidRDefault="00D74E42" w:rsidP="00D74E42">
            <w:pPr>
              <w:rPr>
                <w:rFonts w:cs="v4.2.0"/>
              </w:rPr>
            </w:pPr>
            <w:r w:rsidRPr="00B76A7A">
              <w:rPr>
                <w:rFonts w:cs="v4.2.0"/>
              </w:rPr>
              <w:t xml:space="preserve">When the UE receives a RRC message implying handover the UE shall be ready to </w:t>
            </w:r>
            <w:r w:rsidRPr="00B76A7A">
              <w:rPr>
                <w:rFonts w:cs="v4.2.0"/>
                <w:snapToGrid w:val="0"/>
              </w:rPr>
              <w:t>start the transmission of the new uplink PRACH channel</w:t>
            </w:r>
            <w:r w:rsidRPr="00B76A7A">
              <w:rPr>
                <w:rFonts w:cs="v4.2.0"/>
              </w:rPr>
              <w:t xml:space="preserve"> within D</w:t>
            </w:r>
            <w:r w:rsidRPr="00B76A7A">
              <w:rPr>
                <w:rFonts w:cs="v4.2.0"/>
                <w:vertAlign w:val="subscript"/>
              </w:rPr>
              <w:t>handover</w:t>
            </w:r>
            <w:r w:rsidRPr="00B76A7A">
              <w:rPr>
                <w:rFonts w:cs="v4.2.0"/>
              </w:rPr>
              <w:t xml:space="preserve"> seconds from the end of the last TTI containing the RRC command.</w:t>
            </w:r>
          </w:p>
          <w:p w:rsidR="00D74E42" w:rsidRPr="00B76A7A" w:rsidRDefault="00D74E42" w:rsidP="00D74E42">
            <w:pPr>
              <w:rPr>
                <w:rFonts w:cs="v4.2.0"/>
              </w:rPr>
            </w:pPr>
            <w:r w:rsidRPr="00B76A7A">
              <w:rPr>
                <w:rFonts w:cs="v4.2.0"/>
              </w:rPr>
              <w:t>Where:</w:t>
            </w:r>
          </w:p>
          <w:p w:rsidR="00D74E42" w:rsidRPr="00B76A7A" w:rsidRDefault="00D74E42" w:rsidP="00D74E42">
            <w:pPr>
              <w:rPr>
                <w:rFonts w:cs="v4.2.0"/>
              </w:rPr>
            </w:pPr>
            <w:r w:rsidRPr="00B76A7A">
              <w:rPr>
                <w:rFonts w:cs="v4.2.0"/>
              </w:rPr>
              <w:t>D</w:t>
            </w:r>
            <w:r w:rsidRPr="00B76A7A">
              <w:rPr>
                <w:rFonts w:cs="v4.2.0"/>
                <w:vertAlign w:val="subscript"/>
              </w:rPr>
              <w:t>handover</w:t>
            </w:r>
            <w:r w:rsidRPr="00B76A7A">
              <w:rPr>
                <w:rFonts w:cs="v4.2.0"/>
              </w:rPr>
              <w:t xml:space="preserve"> equals the maximum RRC procedure delay to be defined in clause </w:t>
            </w:r>
            <w:r w:rsidRPr="00B76A7A">
              <w:rPr>
                <w:rFonts w:cs="v4.2.0"/>
                <w:lang w:eastAsia="zh-CN"/>
              </w:rPr>
              <w:t>12</w:t>
            </w:r>
            <w:r w:rsidRPr="00B76A7A">
              <w:rPr>
                <w:rFonts w:cs="v4.2.0"/>
              </w:rPr>
              <w:t xml:space="preserve"> in </w:t>
            </w:r>
            <w:r>
              <w:t>TS 38.331 [2]</w:t>
            </w:r>
            <w:r w:rsidRPr="00B76A7A">
              <w:rPr>
                <w:rFonts w:cs="v4.2.0"/>
              </w:rPr>
              <w:t xml:space="preserve"> plus the interruption time stated in clause 6.1.1.4.2.</w:t>
            </w:r>
          </w:p>
          <w:p w:rsidR="00D74E42" w:rsidRPr="00B76A7A" w:rsidRDefault="00D74E42" w:rsidP="00B76A7A">
            <w:pPr>
              <w:pStyle w:val="Heading5"/>
              <w:numPr>
                <w:ilvl w:val="0"/>
                <w:numId w:val="0"/>
              </w:numPr>
              <w:ind w:left="1152" w:hanging="1152"/>
              <w:rPr>
                <w:rFonts w:eastAsia="SimSun"/>
              </w:rPr>
            </w:pPr>
            <w:bookmarkStart w:id="4" w:name="_Toc526331618"/>
            <w:r w:rsidRPr="00B76A7A">
              <w:rPr>
                <w:rFonts w:eastAsia="SimSun"/>
              </w:rPr>
              <w:t>6.1.1.4.2</w:t>
            </w:r>
            <w:r w:rsidRPr="00B76A7A">
              <w:rPr>
                <w:rFonts w:eastAsia="SimSun"/>
              </w:rPr>
              <w:tab/>
              <w:t>Interruption time</w:t>
            </w:r>
            <w:bookmarkEnd w:id="4"/>
          </w:p>
          <w:p w:rsidR="00D74E42" w:rsidRPr="00B76A7A" w:rsidRDefault="00D74E42" w:rsidP="00D74E42">
            <w:pPr>
              <w:rPr>
                <w:rFonts w:eastAsia="SimSun" w:cs="v4.2.0"/>
              </w:rPr>
            </w:pPr>
            <w:r w:rsidRPr="00B76A7A">
              <w:rPr>
                <w:rFonts w:cs="v4.2.0"/>
              </w:rPr>
              <w:t>The interruption time is the time between end of the last TTI containing the RRC command on the old PDSCH and the time the UE starts transmission of the new PRACH, excluding the RRC procedure delay.</w:t>
            </w:r>
          </w:p>
          <w:p w:rsidR="00D74E42" w:rsidRPr="00B76A7A" w:rsidRDefault="00D74E42" w:rsidP="00D74E42">
            <w:pPr>
              <w:rPr>
                <w:rFonts w:cs="v4.2.0"/>
                <w:position w:val="-6"/>
              </w:rPr>
            </w:pPr>
            <w:r w:rsidRPr="00B76A7A">
              <w:rPr>
                <w:rFonts w:cs="v4.2.0"/>
              </w:rPr>
              <w:t>When intra-frequency or inter-frequency handover is commanded, the interruption time shall be less than T</w:t>
            </w:r>
            <w:r w:rsidRPr="00B76A7A">
              <w:rPr>
                <w:rFonts w:cs="v4.2.0"/>
                <w:vertAlign w:val="subscript"/>
              </w:rPr>
              <w:t>interrupt</w:t>
            </w:r>
          </w:p>
          <w:p w:rsidR="00D74E42" w:rsidRDefault="00D74E42" w:rsidP="00D74E42">
            <w:pPr>
              <w:pStyle w:val="EQ"/>
            </w:pPr>
            <w:r>
              <w:tab/>
            </w:r>
            <w:r w:rsidRPr="00B76A7A">
              <w:rPr>
                <w:rFonts w:cs="v4.2.0"/>
              </w:rPr>
              <w:t>T</w:t>
            </w:r>
            <w:r w:rsidRPr="00B76A7A">
              <w:rPr>
                <w:rFonts w:cs="v4.2.0"/>
                <w:vertAlign w:val="subscript"/>
              </w:rPr>
              <w:t>interrupt</w:t>
            </w:r>
            <w:r>
              <w:t xml:space="preserve"> = T</w:t>
            </w:r>
            <w:r w:rsidRPr="00B76A7A">
              <w:rPr>
                <w:vertAlign w:val="subscript"/>
              </w:rPr>
              <w:t>search</w:t>
            </w:r>
            <w:r>
              <w:t xml:space="preserve"> + T</w:t>
            </w:r>
            <w:r w:rsidRPr="00B76A7A">
              <w:rPr>
                <w:vertAlign w:val="subscript"/>
              </w:rPr>
              <w:t>IU</w:t>
            </w:r>
            <w:r>
              <w:t xml:space="preserve"> + </w:t>
            </w:r>
            <w:r w:rsidRPr="00B76A7A">
              <w:rPr>
                <w:lang w:val="en-US" w:eastAsia="zh-CN"/>
              </w:rPr>
              <w:t>T</w:t>
            </w:r>
            <w:r w:rsidRPr="00B76A7A">
              <w:rPr>
                <w:vertAlign w:val="subscript"/>
                <w:lang w:val="en-US" w:eastAsia="zh-CN"/>
              </w:rPr>
              <w:t>processing</w:t>
            </w:r>
            <w:r>
              <w:rPr>
                <w:lang w:eastAsia="zh-CN"/>
              </w:rPr>
              <w:t>+</w:t>
            </w:r>
            <w:r w:rsidRPr="00B76A7A">
              <w:rPr>
                <w:lang w:val="en-US" w:eastAsia="zh-CN"/>
              </w:rPr>
              <w:t xml:space="preserve"> T</w:t>
            </w:r>
            <w:r w:rsidRPr="00B76A7A">
              <w:rPr>
                <w:vertAlign w:val="subscript"/>
                <w:lang w:val="en-US" w:eastAsia="zh-CN"/>
              </w:rPr>
              <w:t>∆</w:t>
            </w:r>
            <w:r w:rsidRPr="00B76A7A">
              <w:rPr>
                <w:lang w:val="en-US" w:eastAsia="zh-CN"/>
              </w:rPr>
              <w:t xml:space="preserve"> </w:t>
            </w:r>
            <w:r>
              <w:t>ms</w:t>
            </w:r>
          </w:p>
          <w:p w:rsidR="00D74E42" w:rsidRPr="006F3ADF" w:rsidRDefault="00D74E42" w:rsidP="00D74E42">
            <w:r w:rsidRPr="006F3ADF">
              <w:t>Where:</w:t>
            </w:r>
          </w:p>
          <w:p w:rsidR="00D74E42" w:rsidRPr="00B76A7A" w:rsidRDefault="00D74E42" w:rsidP="00B76A7A">
            <w:pPr>
              <w:pStyle w:val="B10"/>
              <w:ind w:left="270" w:firstLine="14"/>
              <w:rPr>
                <w:rFonts w:ascii="Times New Roman" w:hAnsi="Times New Roman"/>
              </w:rPr>
            </w:pPr>
            <w:r w:rsidRPr="00B76A7A">
              <w:rPr>
                <w:rFonts w:ascii="Times New Roman" w:hAnsi="Times New Roman"/>
              </w:rPr>
              <w:t>T</w:t>
            </w:r>
            <w:r w:rsidRPr="00B76A7A">
              <w:rPr>
                <w:rFonts w:ascii="Times New Roman" w:hAnsi="Times New Roman"/>
                <w:vertAlign w:val="subscript"/>
              </w:rPr>
              <w:t>search</w:t>
            </w:r>
            <w:r w:rsidRPr="00B76A7A">
              <w:rPr>
                <w:rFonts w:ascii="Times New Roman" w:hAnsi="Times New Roman"/>
              </w:rPr>
              <w:t xml:space="preserve"> is the time required to search the target cell when the handover command is received by the UE. If the target cell is an intra-frequency cell and </w:t>
            </w:r>
            <w:r w:rsidRPr="00B76A7A">
              <w:rPr>
                <w:rFonts w:ascii="Times New Roman" w:hAnsi="Times New Roman"/>
                <w:highlight w:val="yellow"/>
              </w:rPr>
              <w:t>signal quality is sufficient for successful cell detection on the first attempt</w:t>
            </w:r>
            <w:r w:rsidRPr="00B76A7A">
              <w:rPr>
                <w:rFonts w:ascii="Times New Roman" w:hAnsi="Times New Roman"/>
              </w:rPr>
              <w:t>, then T</w:t>
            </w:r>
            <w:r w:rsidRPr="00B76A7A">
              <w:rPr>
                <w:rFonts w:ascii="Times New Roman" w:hAnsi="Times New Roman"/>
                <w:vertAlign w:val="subscript"/>
              </w:rPr>
              <w:t>search</w:t>
            </w:r>
            <w:r w:rsidRPr="00B76A7A">
              <w:rPr>
                <w:rFonts w:ascii="Times New Roman" w:hAnsi="Times New Roman"/>
              </w:rPr>
              <w:t xml:space="preserve"> = [</w:t>
            </w:r>
            <w:r w:rsidRPr="00B76A7A">
              <w:rPr>
                <w:rFonts w:ascii="Times New Roman" w:hAnsi="Times New Roman"/>
                <w:lang w:eastAsia="zh-CN"/>
              </w:rPr>
              <w:t>8</w:t>
            </w:r>
            <w:r w:rsidRPr="00B76A7A">
              <w:rPr>
                <w:rFonts w:ascii="Times New Roman" w:hAnsi="Times New Roman"/>
              </w:rPr>
              <w:t>* T</w:t>
            </w:r>
            <w:r w:rsidRPr="00B76A7A">
              <w:rPr>
                <w:rFonts w:ascii="Times New Roman" w:hAnsi="Times New Roman"/>
                <w:vertAlign w:val="subscript"/>
              </w:rPr>
              <w:t>rs</w:t>
            </w:r>
            <w:r w:rsidRPr="00B76A7A">
              <w:rPr>
                <w:rFonts w:ascii="Times New Roman" w:hAnsi="Times New Roman"/>
              </w:rPr>
              <w:t xml:space="preserve"> + 2] ms. If the target cell is an inter-frequency cell and signal quality is sufficient for successful cell detection on the first attempt, then T</w:t>
            </w:r>
            <w:r w:rsidRPr="00B76A7A">
              <w:rPr>
                <w:rFonts w:ascii="Times New Roman" w:hAnsi="Times New Roman"/>
                <w:vertAlign w:val="subscript"/>
              </w:rPr>
              <w:t>search</w:t>
            </w:r>
            <w:r w:rsidRPr="00B76A7A">
              <w:rPr>
                <w:rFonts w:ascii="Times New Roman" w:hAnsi="Times New Roman"/>
              </w:rPr>
              <w:t xml:space="preserve"> = [</w:t>
            </w:r>
            <w:r w:rsidRPr="00B76A7A">
              <w:rPr>
                <w:rFonts w:ascii="Times New Roman" w:hAnsi="Times New Roman"/>
                <w:lang w:eastAsia="zh-CN"/>
              </w:rPr>
              <w:t>8</w:t>
            </w:r>
            <w:r w:rsidRPr="00B76A7A">
              <w:rPr>
                <w:rFonts w:ascii="Times New Roman" w:hAnsi="Times New Roman"/>
              </w:rPr>
              <w:t>*</w:t>
            </w:r>
            <w:r w:rsidRPr="00B76A7A">
              <w:rPr>
                <w:rFonts w:ascii="Times New Roman" w:hAnsi="Times New Roman"/>
                <w:lang w:eastAsia="zh-CN"/>
              </w:rPr>
              <w:t>3</w:t>
            </w:r>
            <w:r w:rsidRPr="00B76A7A">
              <w:rPr>
                <w:rFonts w:ascii="Times New Roman" w:hAnsi="Times New Roman"/>
              </w:rPr>
              <w:t>* T</w:t>
            </w:r>
            <w:r w:rsidRPr="00B76A7A">
              <w:rPr>
                <w:rFonts w:ascii="Times New Roman" w:hAnsi="Times New Roman"/>
                <w:vertAlign w:val="subscript"/>
              </w:rPr>
              <w:t>rs</w:t>
            </w:r>
            <w:r w:rsidRPr="00B76A7A">
              <w:rPr>
                <w:rFonts w:ascii="Times New Roman" w:hAnsi="Times New Roman"/>
              </w:rPr>
              <w:t xml:space="preserve"> + 2] ms. Regardless of whether DRX is in use by the UE, T</w:t>
            </w:r>
            <w:r w:rsidRPr="00B76A7A">
              <w:rPr>
                <w:rFonts w:ascii="Times New Roman" w:hAnsi="Times New Roman"/>
                <w:vertAlign w:val="subscript"/>
              </w:rPr>
              <w:t>search</w:t>
            </w:r>
            <w:r w:rsidRPr="00B76A7A">
              <w:rPr>
                <w:rFonts w:ascii="Times New Roman" w:hAnsi="Times New Roman"/>
              </w:rPr>
              <w:t xml:space="preserve"> shall still be based on non-DRX target cell search times.</w:t>
            </w:r>
          </w:p>
          <w:p w:rsidR="00D74E42" w:rsidRPr="00B76A7A" w:rsidRDefault="00D74E42" w:rsidP="00D74E42">
            <w:pPr>
              <w:pStyle w:val="B10"/>
              <w:rPr>
                <w:rFonts w:ascii="Times New Roman" w:hAnsi="Times New Roman"/>
              </w:rPr>
            </w:pPr>
            <w:r w:rsidRPr="00B76A7A">
              <w:rPr>
                <w:rFonts w:ascii="Times New Roman" w:hAnsi="Times New Roman"/>
              </w:rPr>
              <w:t>T</w:t>
            </w:r>
            <w:r w:rsidRPr="00B76A7A">
              <w:rPr>
                <w:rFonts w:ascii="Times New Roman" w:hAnsi="Times New Roman"/>
                <w:vertAlign w:val="subscript"/>
                <w:lang w:val="en-US" w:eastAsia="zh-CN"/>
              </w:rPr>
              <w:t>processing</w:t>
            </w:r>
            <w:r w:rsidRPr="00B76A7A">
              <w:rPr>
                <w:rFonts w:ascii="Times New Roman" w:hAnsi="Times New Roman"/>
              </w:rPr>
              <w:t xml:space="preserve"> is time for UE processing. T</w:t>
            </w:r>
            <w:r w:rsidRPr="00B76A7A">
              <w:rPr>
                <w:rFonts w:ascii="Times New Roman" w:hAnsi="Times New Roman"/>
                <w:vertAlign w:val="subscript"/>
                <w:lang w:val="en-US" w:eastAsia="zh-CN"/>
              </w:rPr>
              <w:t>processing</w:t>
            </w:r>
            <w:r w:rsidRPr="00B76A7A">
              <w:rPr>
                <w:rFonts w:ascii="Times New Roman" w:hAnsi="Times New Roman"/>
              </w:rPr>
              <w:t xml:space="preserve"> can be up to 20ms.</w:t>
            </w:r>
          </w:p>
          <w:p w:rsidR="00D74E42" w:rsidRPr="00B76A7A" w:rsidRDefault="00D74E42" w:rsidP="00D74E42">
            <w:pPr>
              <w:pStyle w:val="B10"/>
              <w:rPr>
                <w:rFonts w:ascii="Times New Roman" w:hAnsi="Times New Roman"/>
              </w:rPr>
            </w:pPr>
            <w:r w:rsidRPr="00B76A7A">
              <w:rPr>
                <w:rFonts w:ascii="Times New Roman" w:hAnsi="Times New Roman"/>
              </w:rPr>
              <w:t>T</w:t>
            </w:r>
            <w:r w:rsidRPr="00B76A7A">
              <w:rPr>
                <w:rFonts w:ascii="Times New Roman" w:hAnsi="Times New Roman"/>
                <w:vertAlign w:val="subscript"/>
              </w:rPr>
              <w:t>∆</w:t>
            </w:r>
            <w:r w:rsidRPr="00B76A7A">
              <w:rPr>
                <w:rFonts w:ascii="Times New Roman" w:hAnsi="Times New Roman"/>
              </w:rPr>
              <w:t xml:space="preserve"> is time for fine time tracking and acquiring full timing information of the target cell. T</w:t>
            </w:r>
            <w:r w:rsidRPr="00B76A7A">
              <w:rPr>
                <w:rFonts w:ascii="Times New Roman" w:hAnsi="Times New Roman"/>
                <w:vertAlign w:val="subscript"/>
              </w:rPr>
              <w:t>∆</w:t>
            </w:r>
            <w:r w:rsidRPr="00B76A7A">
              <w:rPr>
                <w:rFonts w:ascii="Times New Roman" w:hAnsi="Times New Roman"/>
              </w:rPr>
              <w:t xml:space="preserve"> = [</w:t>
            </w:r>
            <w:r w:rsidRPr="00B76A7A">
              <w:rPr>
                <w:rFonts w:ascii="Times New Roman" w:hAnsi="Times New Roman"/>
                <w:lang w:eastAsia="zh-CN"/>
              </w:rPr>
              <w:t>1</w:t>
            </w:r>
            <w:r w:rsidRPr="00B76A7A">
              <w:rPr>
                <w:rFonts w:ascii="Times New Roman" w:hAnsi="Times New Roman"/>
              </w:rPr>
              <w:t>]* T</w:t>
            </w:r>
            <w:r w:rsidRPr="00B76A7A">
              <w:rPr>
                <w:rFonts w:ascii="Times New Roman" w:hAnsi="Times New Roman"/>
                <w:vertAlign w:val="subscript"/>
              </w:rPr>
              <w:t>rs</w:t>
            </w:r>
            <w:r w:rsidRPr="00B76A7A">
              <w:rPr>
                <w:rFonts w:ascii="Times New Roman" w:hAnsi="Times New Roman"/>
              </w:rPr>
              <w:t>.</w:t>
            </w:r>
          </w:p>
          <w:p w:rsidR="00D74E42" w:rsidRPr="00B76A7A" w:rsidRDefault="00D74E42" w:rsidP="00B76A7A">
            <w:pPr>
              <w:pStyle w:val="B10"/>
              <w:ind w:left="284" w:firstLine="0"/>
              <w:rPr>
                <w:rFonts w:ascii="Times New Roman" w:hAnsi="Times New Roman"/>
                <w:lang w:eastAsia="zh-CN"/>
              </w:rPr>
            </w:pPr>
            <w:r w:rsidRPr="00B76A7A">
              <w:rPr>
                <w:rFonts w:ascii="Times New Roman" w:hAnsi="Times New Roman"/>
              </w:rPr>
              <w:t>T</w:t>
            </w:r>
            <w:r w:rsidRPr="00B76A7A">
              <w:rPr>
                <w:rFonts w:ascii="Times New Roman" w:hAnsi="Times New Roman"/>
                <w:vertAlign w:val="subscript"/>
              </w:rPr>
              <w:t>IU</w:t>
            </w:r>
            <w:r w:rsidRPr="00B76A7A">
              <w:rPr>
                <w:rFonts w:ascii="Times New Roman" w:hAnsi="Times New Roman"/>
              </w:rPr>
              <w:t xml:space="preserve"> is the interruption uncertainty </w:t>
            </w:r>
            <w:r w:rsidRPr="00B76A7A">
              <w:rPr>
                <w:rFonts w:ascii="Times New Roman" w:hAnsi="Times New Roman"/>
                <w:lang w:eastAsia="zh-CN"/>
              </w:rPr>
              <w:t>in acquiring the first available PRACH occasion in the new cell</w:t>
            </w:r>
            <w:r w:rsidRPr="00B76A7A">
              <w:rPr>
                <w:rFonts w:ascii="Times New Roman" w:hAnsi="Times New Roman"/>
              </w:rPr>
              <w:t>. T</w:t>
            </w:r>
            <w:r w:rsidRPr="00B76A7A">
              <w:rPr>
                <w:rFonts w:ascii="Times New Roman" w:hAnsi="Times New Roman"/>
                <w:vertAlign w:val="subscript"/>
              </w:rPr>
              <w:t>IU</w:t>
            </w:r>
            <w:r w:rsidRPr="00B76A7A">
              <w:rPr>
                <w:rFonts w:ascii="Times New Roman" w:hAnsi="Times New Roman"/>
              </w:rPr>
              <w:t xml:space="preserve"> can be up to x*10 +10 ms. x is defined in the table 6.3.3.2-2 of [6].</w:t>
            </w:r>
          </w:p>
          <w:p w:rsidR="00D74E42" w:rsidRPr="00B76A7A" w:rsidRDefault="00D74E42" w:rsidP="00B76A7A">
            <w:pPr>
              <w:pStyle w:val="NO"/>
              <w:ind w:left="284" w:firstLine="0"/>
              <w:rPr>
                <w:rFonts w:ascii="Times New Roman" w:hAnsi="Times New Roman"/>
              </w:rPr>
            </w:pPr>
            <w:r w:rsidRPr="00B76A7A">
              <w:rPr>
                <w:rFonts w:ascii="Times New Roman" w:hAnsi="Times New Roman"/>
              </w:rPr>
              <w:t>T</w:t>
            </w:r>
            <w:r w:rsidRPr="00B76A7A">
              <w:rPr>
                <w:rFonts w:ascii="Times New Roman" w:hAnsi="Times New Roman"/>
                <w:vertAlign w:val="subscript"/>
              </w:rPr>
              <w:t>rs</w:t>
            </w:r>
            <w:r w:rsidRPr="00B76A7A">
              <w:rPr>
                <w:rFonts w:ascii="Times New Roman" w:hAnsi="Times New Roman"/>
              </w:rPr>
              <w:t xml:space="preserve"> is the SMTC periodicity of the target NR cell if the UE has been provided with an SMTC configuration for the target cell prior to or in the handover command, otherwise the requirement in this section is applied with Trs=5ms unless the SSB transmission periodicity is not 5ms. If UE is provided with both SMTC configuration and SSB transmission periodicity the requirement shall be based on SMTC periodicity.</w:t>
            </w:r>
          </w:p>
          <w:p w:rsidR="00D74E42" w:rsidRPr="00B76A7A" w:rsidRDefault="00D74E42" w:rsidP="00D74E42">
            <w:pPr>
              <w:pStyle w:val="NO"/>
              <w:rPr>
                <w:rFonts w:ascii="Times New Roman" w:hAnsi="Times New Roman"/>
              </w:rPr>
            </w:pPr>
            <w:r w:rsidRPr="00B76A7A">
              <w:rPr>
                <w:rFonts w:ascii="Times New Roman" w:hAnsi="Times New Roman"/>
              </w:rPr>
              <w:t>NOTE 1:</w:t>
            </w:r>
            <w:r w:rsidRPr="00B76A7A">
              <w:rPr>
                <w:rFonts w:ascii="Times New Roman" w:hAnsi="Times New Roman"/>
              </w:rPr>
              <w:tab/>
              <w:t>The actual value of T</w:t>
            </w:r>
            <w:r w:rsidRPr="00B76A7A">
              <w:rPr>
                <w:rFonts w:ascii="Times New Roman" w:hAnsi="Times New Roman"/>
                <w:vertAlign w:val="subscript"/>
              </w:rPr>
              <w:t>IU</w:t>
            </w:r>
            <w:r w:rsidRPr="00B76A7A">
              <w:rPr>
                <w:rFonts w:ascii="Times New Roman" w:hAnsi="Times New Roman"/>
              </w:rPr>
              <w:t xml:space="preserve"> shall depend upon the PRACH configuration used in the target cell.</w:t>
            </w:r>
          </w:p>
          <w:p w:rsidR="00D74E42" w:rsidRPr="00B76A7A" w:rsidRDefault="00D74E42" w:rsidP="00D74E42">
            <w:pPr>
              <w:pStyle w:val="NO"/>
              <w:rPr>
                <w:rFonts w:ascii="Times New Roman" w:hAnsi="Times New Roman"/>
              </w:rPr>
            </w:pPr>
            <w:r w:rsidRPr="00B76A7A">
              <w:rPr>
                <w:rFonts w:ascii="Times New Roman" w:hAnsi="Times New Roman"/>
              </w:rPr>
              <w:t>NOTE 2:</w:t>
            </w:r>
            <w:r w:rsidRPr="00B76A7A">
              <w:rPr>
                <w:rFonts w:ascii="Times New Roman" w:hAnsi="Times New Roman"/>
              </w:rPr>
              <w:tab/>
              <w:t>Void</w:t>
            </w:r>
          </w:p>
          <w:p w:rsidR="00D74E42" w:rsidRDefault="00D74E42" w:rsidP="002B1082"/>
        </w:tc>
      </w:tr>
    </w:tbl>
    <w:p w:rsidR="00D74E42" w:rsidRDefault="00D74E42" w:rsidP="002B1082"/>
    <w:p w:rsidR="006F3ADF" w:rsidRPr="006F3ADF" w:rsidRDefault="006F3ADF" w:rsidP="002B1082">
      <w:pPr>
        <w:rPr>
          <w:b/>
        </w:rPr>
      </w:pPr>
      <w:r>
        <w:rPr>
          <w:b/>
        </w:rPr>
        <w:t>Observation 1 : The condition in which a cell should be detected on the first attempt is not specified either in handover requirements or implied by other requirements in 38.133</w:t>
      </w:r>
    </w:p>
    <w:p w:rsidR="005813AA" w:rsidRDefault="005813AA" w:rsidP="005813AA">
      <w:pPr>
        <w:pStyle w:val="Heading1"/>
        <w:jc w:val="both"/>
        <w:rPr>
          <w:rFonts w:eastAsia="SimSun"/>
          <w:lang w:val="en-US" w:eastAsia="zh-CN"/>
        </w:rPr>
      </w:pPr>
      <w:r>
        <w:rPr>
          <w:rFonts w:eastAsia="SimSun"/>
          <w:lang w:val="en-US" w:eastAsia="zh-CN"/>
        </w:rPr>
        <w:t>Discussion</w:t>
      </w:r>
    </w:p>
    <w:p w:rsidR="002B1082" w:rsidRDefault="006F3ADF" w:rsidP="002B1082">
      <w:pPr>
        <w:rPr>
          <w:lang w:val="en-US" w:eastAsia="zh-CN"/>
        </w:rPr>
      </w:pPr>
      <w:r>
        <w:rPr>
          <w:lang w:val="en-US" w:eastAsia="zh-CN"/>
        </w:rPr>
        <w:t xml:space="preserve">Observation 1 is valid for both FR2 handover, and for handover to unknown target cells in FR1. For FR2 handover, our view is that the issue is more significant. For blind handovers, it is unlikely that the gNB would issue a blind handover command unless it is confident that the handover will succeed, based on other information. Such information could be, for instance, knowledge that the </w:t>
      </w:r>
      <w:r>
        <w:rPr>
          <w:lang w:val="en-US" w:eastAsia="zh-CN"/>
        </w:rPr>
        <w:lastRenderedPageBreak/>
        <w:t>coverage of the target cell is collocated with the serving cell, or some other cell that the UE is known to be in coverage of. For an FR2 handover, there can be no such assumption, since any handover will include the Tsearch time.</w:t>
      </w:r>
    </w:p>
    <w:p w:rsidR="006F3ADF" w:rsidRDefault="006F3ADF" w:rsidP="002B1082">
      <w:pPr>
        <w:rPr>
          <w:lang w:val="en-US" w:eastAsia="zh-CN"/>
        </w:rPr>
      </w:pPr>
      <w:r>
        <w:rPr>
          <w:lang w:val="en-US" w:eastAsia="zh-CN"/>
        </w:rPr>
        <w:t>In RAN4#89bis, we attempted to clarify  the FR2 handover requirement by deleting the “</w:t>
      </w:r>
      <w:r w:rsidRPr="006F3ADF">
        <w:rPr>
          <w:lang w:val="en-US" w:eastAsia="zh-CN"/>
        </w:rPr>
        <w:t>signal quality is sufficient for successful cell</w:t>
      </w:r>
      <w:r>
        <w:rPr>
          <w:lang w:val="en-US" w:eastAsia="zh-CN"/>
        </w:rPr>
        <w:t xml:space="preserve"> detection on the first attempt” condition, but this was not agreeable from a UE perspective. Understandably, UE vendors had concern about the case where the search could not reasonably be completed in a single attempt. On the other hand, this also illustrates our concern with the handover requirements as they are currently specified. It would be perfectly valid to search for the target cell only once (for example using all RX beam directions) before concluding that the handover has failed, and not making further effort to find the target cell.</w:t>
      </w:r>
    </w:p>
    <w:p w:rsidR="006F3ADF" w:rsidRDefault="006F3ADF" w:rsidP="002B1082">
      <w:pPr>
        <w:rPr>
          <w:lang w:val="en-US" w:eastAsia="zh-CN"/>
        </w:rPr>
      </w:pPr>
      <w:r>
        <w:rPr>
          <w:lang w:val="en-US" w:eastAsia="zh-CN"/>
        </w:rPr>
        <w:t>Based on the importance of the non-blind handover, we think it is therefore necessary to specify more precisely a condition in which the handover requirement can be expected to be met.</w:t>
      </w:r>
    </w:p>
    <w:p w:rsidR="006F3ADF" w:rsidRDefault="006F3ADF" w:rsidP="002B1082">
      <w:pPr>
        <w:rPr>
          <w:b/>
          <w:lang w:val="en-US" w:eastAsia="zh-CN"/>
        </w:rPr>
      </w:pPr>
      <w:r>
        <w:rPr>
          <w:b/>
          <w:lang w:val="en-US" w:eastAsia="zh-CN"/>
        </w:rPr>
        <w:t>Proposal 1: The condition for handover requirement being met with Tsearch delay is specified more precisely than “signal quality is sufficient f</w:t>
      </w:r>
      <w:r w:rsidRPr="006F3ADF">
        <w:rPr>
          <w:b/>
          <w:lang w:val="en-US" w:eastAsia="zh-CN"/>
        </w:rPr>
        <w:t>or successful cell</w:t>
      </w:r>
      <w:r>
        <w:rPr>
          <w:b/>
          <w:lang w:val="en-US" w:eastAsia="zh-CN"/>
        </w:rPr>
        <w:t xml:space="preserve"> detection on the first attempt”</w:t>
      </w:r>
    </w:p>
    <w:p w:rsidR="006F3ADF" w:rsidRDefault="006F3ADF" w:rsidP="002B1082">
      <w:pPr>
        <w:rPr>
          <w:lang w:val="en-US" w:eastAsia="zh-CN"/>
        </w:rPr>
      </w:pPr>
      <w:r>
        <w:rPr>
          <w:lang w:val="en-US" w:eastAsia="zh-CN"/>
        </w:rPr>
        <w:t xml:space="preserve">Regarding the suitable side condition we are open to discussion, but we think that </w:t>
      </w:r>
      <w:r w:rsidR="006948FF">
        <w:rPr>
          <w:lang w:val="en-US" w:eastAsia="zh-CN"/>
        </w:rPr>
        <w:t>specifying</w:t>
      </w:r>
      <w:r>
        <w:rPr>
          <w:lang w:val="en-US" w:eastAsia="zh-CN"/>
        </w:rPr>
        <w:t xml:space="preserve"> Es/Iot</w:t>
      </w:r>
      <w:r w:rsidR="006E3EB5">
        <w:rPr>
          <w:lang w:val="en-US" w:eastAsia="zh-CN"/>
        </w:rPr>
        <w:t>≥-3dB would be reasonable, given that companies saw that between 1 and 3 attempts are needed at Es/Iot in  the simulation campaign. Considering that hysteresis in intra-frequency handover means that the target cell is typically stronger than the serving cell (</w:t>
      </w:r>
      <w:r w:rsidR="006948FF">
        <w:rPr>
          <w:lang w:val="en-US" w:eastAsia="zh-CN"/>
        </w:rPr>
        <w:t>e.g.</w:t>
      </w:r>
      <w:r w:rsidR="006E3EB5">
        <w:rPr>
          <w:lang w:val="en-US" w:eastAsia="zh-CN"/>
        </w:rPr>
        <w:t xml:space="preserve"> 1dB), such side condition should also be reasonable for the needs of the system,</w:t>
      </w:r>
    </w:p>
    <w:p w:rsidR="006E3EB5" w:rsidRDefault="006E3EB5" w:rsidP="002B1082">
      <w:pPr>
        <w:rPr>
          <w:b/>
          <w:lang w:val="en-US" w:eastAsia="zh-CN"/>
        </w:rPr>
      </w:pPr>
      <w:r>
        <w:rPr>
          <w:b/>
          <w:lang w:val="en-US" w:eastAsia="zh-CN"/>
        </w:rPr>
        <w:t>Proposal 2</w:t>
      </w:r>
      <w:r w:rsidRPr="006E3EB5">
        <w:rPr>
          <w:b/>
          <w:lang w:val="en-US" w:eastAsia="zh-CN"/>
        </w:rPr>
        <w:t>: Es/Iot ≥-3dB</w:t>
      </w:r>
      <w:r>
        <w:rPr>
          <w:b/>
          <w:lang w:val="en-US" w:eastAsia="zh-CN"/>
        </w:rPr>
        <w:t xml:space="preserve"> is specified as the side condition.</w:t>
      </w:r>
    </w:p>
    <w:p w:rsidR="006E3EB5" w:rsidRPr="006E3EB5" w:rsidRDefault="006E3EB5" w:rsidP="002B1082">
      <w:pPr>
        <w:rPr>
          <w:b/>
          <w:lang w:val="en-US" w:eastAsia="zh-CN"/>
        </w:rPr>
      </w:pPr>
    </w:p>
    <w:p w:rsidR="005813AA" w:rsidRDefault="005813AA" w:rsidP="005813AA">
      <w:pPr>
        <w:pStyle w:val="Heading1"/>
        <w:jc w:val="both"/>
        <w:rPr>
          <w:rFonts w:eastAsia="SimSun"/>
          <w:lang w:val="en-US" w:eastAsia="zh-CN"/>
        </w:rPr>
      </w:pPr>
      <w:r>
        <w:rPr>
          <w:rFonts w:eastAsia="SimSun"/>
          <w:lang w:val="en-US" w:eastAsia="zh-CN"/>
        </w:rPr>
        <w:t>Conclusion</w:t>
      </w:r>
    </w:p>
    <w:p w:rsidR="006E3EB5" w:rsidRDefault="006E3EB5" w:rsidP="006E3EB5">
      <w:pPr>
        <w:rPr>
          <w:b/>
          <w:lang w:val="en-US" w:eastAsia="zh-CN"/>
        </w:rPr>
      </w:pPr>
      <w:r>
        <w:rPr>
          <w:b/>
          <w:lang w:val="en-US" w:eastAsia="zh-CN"/>
        </w:rPr>
        <w:t>Proposal 1: The condition for handover requirement being met with Tsearch delay is specified more precisely than “signal quality is sufficient f</w:t>
      </w:r>
      <w:r w:rsidRPr="006F3ADF">
        <w:rPr>
          <w:b/>
          <w:lang w:val="en-US" w:eastAsia="zh-CN"/>
        </w:rPr>
        <w:t>or successful cell</w:t>
      </w:r>
      <w:r>
        <w:rPr>
          <w:b/>
          <w:lang w:val="en-US" w:eastAsia="zh-CN"/>
        </w:rPr>
        <w:t xml:space="preserve"> detection on the first attempt”</w:t>
      </w:r>
    </w:p>
    <w:p w:rsidR="00C36F14" w:rsidRPr="006E3EB5" w:rsidRDefault="006E3EB5" w:rsidP="006E3EB5">
      <w:pPr>
        <w:rPr>
          <w:b/>
          <w:lang w:val="en-US" w:eastAsia="zh-CN"/>
        </w:rPr>
      </w:pPr>
      <w:r>
        <w:rPr>
          <w:b/>
          <w:lang w:val="en-US" w:eastAsia="zh-CN"/>
        </w:rPr>
        <w:t>Proposal 2</w:t>
      </w:r>
      <w:r w:rsidRPr="006E3EB5">
        <w:rPr>
          <w:b/>
          <w:lang w:val="en-US" w:eastAsia="zh-CN"/>
        </w:rPr>
        <w:t>: Es/Iot ≥-3dB</w:t>
      </w:r>
      <w:r>
        <w:rPr>
          <w:b/>
          <w:lang w:val="en-US" w:eastAsia="zh-CN"/>
        </w:rPr>
        <w:t xml:space="preserve"> is specified as the side condition.</w:t>
      </w:r>
    </w:p>
    <w:sectPr w:rsidR="00C36F14" w:rsidRPr="006E3E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13F" w:rsidRDefault="00A1313F">
      <w:r>
        <w:separator/>
      </w:r>
    </w:p>
  </w:endnote>
  <w:endnote w:type="continuationSeparator" w:id="0">
    <w:p w:rsidR="00A1313F" w:rsidRDefault="00A1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13F" w:rsidRDefault="00A1313F">
      <w:r>
        <w:separator/>
      </w:r>
    </w:p>
  </w:footnote>
  <w:footnote w:type="continuationSeparator" w:id="0">
    <w:p w:rsidR="00A1313F" w:rsidRDefault="00A13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2"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D8493A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25C698C8">
      <w:start w:val="1"/>
      <w:numFmt w:val="bullet"/>
      <w:lvlText w:val="o"/>
      <w:lvlJc w:val="left"/>
      <w:pPr>
        <w:tabs>
          <w:tab w:val="num" w:pos="1440"/>
        </w:tabs>
        <w:ind w:left="1440" w:hanging="360"/>
      </w:pPr>
      <w:rPr>
        <w:rFonts w:ascii="Arial" w:hAnsi="Arial" w:cs="Arial" w:hint="default"/>
      </w:rPr>
    </w:lvl>
    <w:lvl w:ilvl="2" w:tplc="D64E2DF0" w:tentative="1">
      <w:start w:val="1"/>
      <w:numFmt w:val="bullet"/>
      <w:lvlText w:val=""/>
      <w:lvlJc w:val="left"/>
      <w:pPr>
        <w:tabs>
          <w:tab w:val="num" w:pos="2160"/>
        </w:tabs>
        <w:ind w:left="2160" w:hanging="360"/>
      </w:pPr>
      <w:rPr>
        <w:rFonts w:ascii="Batang" w:hAnsi="Batang" w:hint="default"/>
      </w:rPr>
    </w:lvl>
    <w:lvl w:ilvl="3" w:tplc="9A202F26" w:tentative="1">
      <w:start w:val="1"/>
      <w:numFmt w:val="bullet"/>
      <w:lvlText w:val=""/>
      <w:lvlJc w:val="left"/>
      <w:pPr>
        <w:tabs>
          <w:tab w:val="num" w:pos="2880"/>
        </w:tabs>
        <w:ind w:left="2880" w:hanging="360"/>
      </w:pPr>
      <w:rPr>
        <w:rFonts w:ascii="Wingdings" w:hAnsi="Wingdings" w:hint="default"/>
      </w:rPr>
    </w:lvl>
    <w:lvl w:ilvl="4" w:tplc="45A07210" w:tentative="1">
      <w:start w:val="1"/>
      <w:numFmt w:val="bullet"/>
      <w:lvlText w:val="o"/>
      <w:lvlJc w:val="left"/>
      <w:pPr>
        <w:tabs>
          <w:tab w:val="num" w:pos="3600"/>
        </w:tabs>
        <w:ind w:left="3600" w:hanging="360"/>
      </w:pPr>
      <w:rPr>
        <w:rFonts w:ascii="Arial" w:hAnsi="Arial" w:cs="Arial" w:hint="default"/>
      </w:rPr>
    </w:lvl>
    <w:lvl w:ilvl="5" w:tplc="46BE36A8" w:tentative="1">
      <w:start w:val="1"/>
      <w:numFmt w:val="bullet"/>
      <w:lvlText w:val=""/>
      <w:lvlJc w:val="left"/>
      <w:pPr>
        <w:tabs>
          <w:tab w:val="num" w:pos="4320"/>
        </w:tabs>
        <w:ind w:left="4320" w:hanging="360"/>
      </w:pPr>
      <w:rPr>
        <w:rFonts w:ascii="Batang" w:hAnsi="Batang" w:hint="default"/>
      </w:rPr>
    </w:lvl>
    <w:lvl w:ilvl="6" w:tplc="12BADC38" w:tentative="1">
      <w:start w:val="1"/>
      <w:numFmt w:val="bullet"/>
      <w:lvlText w:val=""/>
      <w:lvlJc w:val="left"/>
      <w:pPr>
        <w:tabs>
          <w:tab w:val="num" w:pos="5040"/>
        </w:tabs>
        <w:ind w:left="5040" w:hanging="360"/>
      </w:pPr>
      <w:rPr>
        <w:rFonts w:ascii="Wingdings" w:hAnsi="Wingdings" w:hint="default"/>
      </w:rPr>
    </w:lvl>
    <w:lvl w:ilvl="7" w:tplc="FE104832" w:tentative="1">
      <w:start w:val="1"/>
      <w:numFmt w:val="bullet"/>
      <w:lvlText w:val="o"/>
      <w:lvlJc w:val="left"/>
      <w:pPr>
        <w:tabs>
          <w:tab w:val="num" w:pos="5760"/>
        </w:tabs>
        <w:ind w:left="5760" w:hanging="360"/>
      </w:pPr>
      <w:rPr>
        <w:rFonts w:ascii="Arial" w:hAnsi="Arial" w:cs="Arial" w:hint="default"/>
      </w:rPr>
    </w:lvl>
    <w:lvl w:ilvl="8" w:tplc="0A245810" w:tentative="1">
      <w:start w:val="1"/>
      <w:numFmt w:val="bullet"/>
      <w:lvlText w:val=""/>
      <w:lvlJc w:val="left"/>
      <w:pPr>
        <w:tabs>
          <w:tab w:val="num" w:pos="6480"/>
        </w:tabs>
        <w:ind w:left="6480" w:hanging="360"/>
      </w:pPr>
      <w:rPr>
        <w:rFonts w:ascii="Batang" w:hAnsi="Batang" w:hint="default"/>
      </w:rPr>
    </w:lvl>
  </w:abstractNum>
  <w:abstractNum w:abstractNumId="22"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3"/>
  </w:num>
  <w:num w:numId="2">
    <w:abstractNumId w:val="20"/>
  </w:num>
  <w:num w:numId="3">
    <w:abstractNumId w:val="21"/>
  </w:num>
  <w:num w:numId="4">
    <w:abstractNumId w:val="8"/>
  </w:num>
  <w:num w:numId="5">
    <w:abstractNumId w:val="11"/>
  </w:num>
  <w:num w:numId="6">
    <w:abstractNumId w:val="4"/>
  </w:num>
  <w:num w:numId="7">
    <w:abstractNumId w:val="6"/>
  </w:num>
  <w:num w:numId="8">
    <w:abstractNumId w:val="19"/>
  </w:num>
  <w:num w:numId="9">
    <w:abstractNumId w:val="17"/>
  </w:num>
  <w:num w:numId="10">
    <w:abstractNumId w:val="1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5"/>
  </w:num>
  <w:num w:numId="13">
    <w:abstractNumId w:val="1"/>
  </w:num>
  <w:num w:numId="14">
    <w:abstractNumId w:val="18"/>
  </w:num>
  <w:num w:numId="15">
    <w:abstractNumId w:val="5"/>
  </w:num>
  <w:num w:numId="16">
    <w:abstractNumId w:val="2"/>
  </w:num>
  <w:num w:numId="17">
    <w:abstractNumId w:val="14"/>
  </w:num>
  <w:num w:numId="18">
    <w:abstractNumId w:val="12"/>
  </w:num>
  <w:num w:numId="19">
    <w:abstractNumId w:val="3"/>
  </w:num>
  <w:num w:numId="20">
    <w:abstractNumId w:val="9"/>
  </w:num>
  <w:num w:numId="21">
    <w:abstractNumId w:val="10"/>
  </w:num>
  <w:num w:numId="22">
    <w:abstractNumId w:val="7"/>
  </w:num>
  <w:num w:numId="2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403"/>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49D"/>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8FF"/>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EB5"/>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ADF"/>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13F"/>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1BC5"/>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6A7A"/>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26B"/>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C5C"/>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47F"/>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E42"/>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50C4F7"/>
  <w15:chartTrackingRefBased/>
  <w15:docId w15:val="{9FD9EB71-7E7C-46E7-8D04-E263EA65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customStyle="1" w:styleId="EQChar">
    <w:name w:val="EQ Char"/>
    <w:link w:val="EQ"/>
    <w:locked/>
    <w:rsid w:val="00D74E4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8981284">
      <w:bodyDiv w:val="1"/>
      <w:marLeft w:val="0"/>
      <w:marRight w:val="0"/>
      <w:marTop w:val="0"/>
      <w:marBottom w:val="0"/>
      <w:divBdr>
        <w:top w:val="none" w:sz="0" w:space="0" w:color="auto"/>
        <w:left w:val="none" w:sz="0" w:space="0" w:color="auto"/>
        <w:bottom w:val="none" w:sz="0" w:space="0" w:color="auto"/>
        <w:right w:val="none" w:sz="0" w:space="0" w:color="auto"/>
      </w:divBdr>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788C6D-0F5D-4960-8B22-BCFFC60252E3}">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B082983-4C73-44F5-BF48-A6987B851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Christopher Callender</cp:lastModifiedBy>
  <cp:revision>3</cp:revision>
  <cp:lastPrinted>2009-04-22T13:01:00Z</cp:lastPrinted>
  <dcterms:created xsi:type="dcterms:W3CDTF">2018-11-01T10:33:00Z</dcterms:created>
  <dcterms:modified xsi:type="dcterms:W3CDTF">2018-11-02T16:44:00Z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